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5A16" w:rsidRPr="001B4AE0" w:rsidRDefault="007C5A16">
      <w:pPr>
        <w:jc w:val="both"/>
        <w:rPr>
          <w:rFonts w:ascii="Verdana" w:hAnsi="Verdana"/>
          <w:b/>
          <w:lang w:val="et-EE"/>
        </w:rPr>
      </w:pPr>
      <w:r w:rsidRPr="001B4AE0">
        <w:rPr>
          <w:rFonts w:ascii="Verdana" w:hAnsi="Verdana"/>
          <w:b/>
          <w:lang w:val="et-EE"/>
        </w:rPr>
        <w:t>KINNITUS</w:t>
      </w:r>
    </w:p>
    <w:p w:rsidR="007C5A16" w:rsidRPr="001B4AE0" w:rsidRDefault="007C5A16">
      <w:pPr>
        <w:jc w:val="both"/>
        <w:rPr>
          <w:rFonts w:ascii="Verdana" w:hAnsi="Verdana"/>
          <w:lang w:val="et-EE"/>
        </w:rPr>
      </w:pPr>
    </w:p>
    <w:p w:rsidR="007C5A16" w:rsidRPr="001B4AE0" w:rsidRDefault="007C5A16">
      <w:pPr>
        <w:jc w:val="both"/>
        <w:rPr>
          <w:rFonts w:ascii="Verdana" w:hAnsi="Verdana"/>
          <w:lang w:val="et-EE"/>
        </w:rPr>
      </w:pPr>
    </w:p>
    <w:p w:rsidR="007C5A16" w:rsidRPr="001B4AE0" w:rsidRDefault="007C5A16">
      <w:pPr>
        <w:jc w:val="both"/>
        <w:rPr>
          <w:rFonts w:ascii="Verdana" w:hAnsi="Verdana"/>
          <w:lang w:val="et-EE"/>
        </w:rPr>
      </w:pPr>
      <w:r w:rsidRPr="001B4AE0">
        <w:rPr>
          <w:rFonts w:ascii="Verdana" w:hAnsi="Verdana"/>
          <w:lang w:val="et-EE"/>
        </w:rPr>
        <w:t xml:space="preserve">Käesoleva kinnituse on vastavalt </w:t>
      </w:r>
      <w:r w:rsidR="00EF45F7" w:rsidRPr="001B4AE0">
        <w:rPr>
          <w:rFonts w:ascii="Verdana" w:hAnsi="Verdana"/>
          <w:lang w:val="et-EE"/>
        </w:rPr>
        <w:t>N</w:t>
      </w:r>
      <w:r w:rsidR="005540D4" w:rsidRPr="001B4AE0">
        <w:rPr>
          <w:rFonts w:ascii="Verdana" w:hAnsi="Verdana"/>
          <w:lang w:val="et-EE"/>
        </w:rPr>
        <w:t>asdaq</w:t>
      </w:r>
      <w:r w:rsidR="00EF45F7" w:rsidRPr="001B4AE0">
        <w:rPr>
          <w:rFonts w:ascii="Verdana" w:hAnsi="Verdana"/>
          <w:lang w:val="et-EE"/>
        </w:rPr>
        <w:t xml:space="preserve"> </w:t>
      </w:r>
      <w:r w:rsidR="005540D4" w:rsidRPr="001B4AE0">
        <w:rPr>
          <w:rFonts w:ascii="Verdana" w:hAnsi="Verdana"/>
          <w:lang w:val="et-EE"/>
        </w:rPr>
        <w:t xml:space="preserve">Tallinn AS-i </w:t>
      </w:r>
      <w:r w:rsidR="00EF45F7" w:rsidRPr="001B4AE0">
        <w:rPr>
          <w:rFonts w:ascii="Verdana" w:hAnsi="Verdana"/>
          <w:lang w:val="et-EE"/>
        </w:rPr>
        <w:t xml:space="preserve">(edaspidi: Börs) </w:t>
      </w:r>
      <w:r w:rsidRPr="001B4AE0">
        <w:rPr>
          <w:rFonts w:ascii="Verdana" w:hAnsi="Verdana"/>
          <w:lang w:val="et-EE"/>
        </w:rPr>
        <w:t>Reglemendi (edaspidi</w:t>
      </w:r>
      <w:r w:rsidR="00EF45F7" w:rsidRPr="001B4AE0">
        <w:rPr>
          <w:rFonts w:ascii="Verdana" w:hAnsi="Verdana"/>
          <w:lang w:val="et-EE"/>
        </w:rPr>
        <w:t>:</w:t>
      </w:r>
      <w:r w:rsidRPr="001B4AE0">
        <w:rPr>
          <w:rFonts w:ascii="Verdana" w:hAnsi="Verdana"/>
          <w:lang w:val="et-EE"/>
        </w:rPr>
        <w:t xml:space="preserve"> Reglement) sätetele andnud </w:t>
      </w:r>
      <w:r w:rsidR="005540D4" w:rsidRPr="001B4AE0">
        <w:rPr>
          <w:rFonts w:ascii="Verdana" w:hAnsi="Verdana"/>
          <w:lang w:val="et-EE"/>
        </w:rPr>
        <w:t>[</w:t>
      </w:r>
      <w:r w:rsidR="005540D4" w:rsidRPr="001B4AE0">
        <w:rPr>
          <w:rFonts w:ascii="Verdana" w:hAnsi="Verdana"/>
          <w:highlight w:val="lightGray"/>
          <w:lang w:val="et-EE"/>
        </w:rPr>
        <w:t>Emitendi ärinimi</w:t>
      </w:r>
      <w:r w:rsidR="005540D4" w:rsidRPr="001B4AE0">
        <w:rPr>
          <w:rFonts w:ascii="Verdana" w:hAnsi="Verdana"/>
          <w:lang w:val="et-EE"/>
        </w:rPr>
        <w:t>]</w:t>
      </w:r>
      <w:r w:rsidRPr="001B4AE0">
        <w:rPr>
          <w:rFonts w:ascii="Verdana" w:hAnsi="Verdana"/>
          <w:b/>
          <w:lang w:val="et-EE"/>
        </w:rPr>
        <w:t xml:space="preserve"> </w:t>
      </w:r>
      <w:r w:rsidRPr="001B4AE0">
        <w:rPr>
          <w:rFonts w:ascii="Verdana" w:hAnsi="Verdana"/>
          <w:lang w:val="et-EE"/>
        </w:rPr>
        <w:t>registrikoodiga [</w:t>
      </w:r>
      <w:r w:rsidRPr="001B4AE0">
        <w:rPr>
          <w:rFonts w:ascii="Verdana" w:hAnsi="Verdana"/>
          <w:highlight w:val="lightGray"/>
          <w:lang w:val="et-EE"/>
        </w:rPr>
        <w:t>number</w:t>
      </w:r>
      <w:r w:rsidRPr="001B4AE0">
        <w:rPr>
          <w:rFonts w:ascii="Verdana" w:hAnsi="Verdana"/>
          <w:lang w:val="et-EE"/>
        </w:rPr>
        <w:t>] (edaspidi</w:t>
      </w:r>
      <w:r w:rsidR="00EF45F7" w:rsidRPr="001B4AE0">
        <w:rPr>
          <w:rFonts w:ascii="Verdana" w:hAnsi="Verdana"/>
          <w:lang w:val="et-EE"/>
        </w:rPr>
        <w:t>:</w:t>
      </w:r>
      <w:r w:rsidRPr="001B4AE0">
        <w:rPr>
          <w:rFonts w:ascii="Verdana" w:hAnsi="Verdana"/>
          <w:lang w:val="et-EE"/>
        </w:rPr>
        <w:t xml:space="preserve"> Emitent), kes on esitanud Börsile taotluse tema poolt </w:t>
      </w:r>
      <w:r w:rsidR="00EF45F7" w:rsidRPr="001B4AE0">
        <w:rPr>
          <w:rFonts w:ascii="Verdana" w:hAnsi="Verdana"/>
          <w:highlight w:val="lightGray"/>
          <w:lang w:val="et-EE"/>
        </w:rPr>
        <w:t>emiteeritud/</w:t>
      </w:r>
      <w:r w:rsidRPr="001B4AE0">
        <w:rPr>
          <w:rFonts w:ascii="Verdana" w:hAnsi="Verdana"/>
          <w:highlight w:val="lightGray"/>
          <w:lang w:val="et-EE"/>
        </w:rPr>
        <w:t>emiteeritavate [väärtpaberite nimetus]</w:t>
      </w:r>
      <w:r w:rsidRPr="001B4AE0">
        <w:rPr>
          <w:rFonts w:ascii="Verdana" w:hAnsi="Verdana"/>
          <w:lang w:val="et-EE"/>
        </w:rPr>
        <w:t xml:space="preserve"> (edaspidi</w:t>
      </w:r>
      <w:r w:rsidR="00EF45F7" w:rsidRPr="001B4AE0">
        <w:rPr>
          <w:rFonts w:ascii="Verdana" w:hAnsi="Verdana"/>
          <w:lang w:val="et-EE"/>
        </w:rPr>
        <w:t>:</w:t>
      </w:r>
      <w:r w:rsidRPr="001B4AE0">
        <w:rPr>
          <w:rFonts w:ascii="Verdana" w:hAnsi="Verdana"/>
          <w:lang w:val="et-EE"/>
        </w:rPr>
        <w:t xml:space="preserve"> Väärtpaberid) noteerimiseks </w:t>
      </w:r>
      <w:r w:rsidR="00EF45F7" w:rsidRPr="001B4AE0">
        <w:rPr>
          <w:rFonts w:ascii="Verdana" w:hAnsi="Verdana"/>
          <w:lang w:val="et-EE"/>
        </w:rPr>
        <w:t xml:space="preserve">Börsil. </w:t>
      </w:r>
      <w:r w:rsidRPr="001B4AE0">
        <w:rPr>
          <w:rFonts w:ascii="Verdana" w:hAnsi="Verdana"/>
          <w:lang w:val="et-EE"/>
        </w:rPr>
        <w:t>Kinnituse eesmärgiks on Väärtpaberite noteerimistaotluse esitamisest tulenevate Emitendi õiguste ja kohustuste reguleerimine.</w:t>
      </w:r>
    </w:p>
    <w:p w:rsidR="007C5A16" w:rsidRPr="001B4AE0" w:rsidRDefault="007C5A16">
      <w:pPr>
        <w:jc w:val="both"/>
        <w:rPr>
          <w:rFonts w:ascii="Verdana" w:hAnsi="Verdana"/>
          <w:lang w:val="et-EE"/>
        </w:rPr>
      </w:pPr>
    </w:p>
    <w:p w:rsidR="007C5A16" w:rsidRPr="001B4AE0" w:rsidRDefault="007C5A16">
      <w:pPr>
        <w:jc w:val="both"/>
        <w:rPr>
          <w:rFonts w:ascii="Verdana" w:hAnsi="Verdana"/>
          <w:lang w:val="et-EE"/>
        </w:rPr>
      </w:pPr>
      <w:r w:rsidRPr="001B4AE0">
        <w:rPr>
          <w:rFonts w:ascii="Verdana" w:hAnsi="Verdana"/>
          <w:lang w:val="et-EE"/>
        </w:rPr>
        <w:t>Käesolevaga kinnitab ja tagab Emitent, et:</w:t>
      </w:r>
    </w:p>
    <w:p w:rsidR="007C5A16" w:rsidRPr="001B4AE0" w:rsidRDefault="007C5A16">
      <w:pPr>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on rakendanud kohast hoolsust tagamaks noteerimiseks vajalike dokumentide esitamise Börsile ning kõik Emitendi poolt Börsile esitatud dokumendid vastavad Reglemendiga kehtestatud nõuetele</w:t>
      </w:r>
      <w:r w:rsidR="005540D4" w:rsidRPr="001B4AE0">
        <w:rPr>
          <w:rFonts w:ascii="Verdana" w:hAnsi="Verdana"/>
          <w:lang w:val="et-EE"/>
        </w:rPr>
        <w:t>;</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Emitendi poolt Börsile esitatud informatsioon on täielik, täpne ja õige ning sellest ei ole välja jäetud midagi, mis muudaks nimetatud informatsiooni eksitavaks või mis oleks muul viisil Börsile oluline noteerimisotsuse vastuvõtmisel</w:t>
      </w:r>
      <w:r w:rsidR="005540D4" w:rsidRPr="001B4AE0">
        <w:rPr>
          <w:rFonts w:ascii="Verdana" w:hAnsi="Verdana"/>
          <w:lang w:val="et-EE"/>
        </w:rPr>
        <w:t xml:space="preserve">. </w:t>
      </w:r>
      <w:r w:rsidR="005540D4" w:rsidRPr="001B4AE0">
        <w:rPr>
          <w:rFonts w:ascii="Verdana" w:hAnsi="Verdana"/>
          <w:lang w:val="et-EE"/>
        </w:rPr>
        <w:t>Emitendi majanduslik, õiguslik või muu olukord</w:t>
      </w:r>
      <w:r w:rsidR="005540D4" w:rsidRPr="001B4AE0">
        <w:rPr>
          <w:rFonts w:ascii="Verdana" w:hAnsi="Verdana"/>
          <w:lang w:val="et-EE"/>
        </w:rPr>
        <w:t xml:space="preserve"> </w:t>
      </w:r>
      <w:r w:rsidR="005540D4" w:rsidRPr="001B4AE0">
        <w:rPr>
          <w:rFonts w:ascii="Verdana" w:hAnsi="Verdana"/>
          <w:lang w:val="et-EE"/>
        </w:rPr>
        <w:t>ei</w:t>
      </w:r>
      <w:r w:rsidR="005540D4" w:rsidRPr="001B4AE0">
        <w:rPr>
          <w:rFonts w:ascii="Verdana" w:hAnsi="Verdana"/>
          <w:lang w:val="et-EE"/>
        </w:rPr>
        <w:t xml:space="preserve"> sea</w:t>
      </w:r>
      <w:r w:rsidR="005540D4" w:rsidRPr="001B4AE0">
        <w:rPr>
          <w:rFonts w:ascii="Verdana" w:hAnsi="Verdana"/>
          <w:lang w:val="et-EE"/>
        </w:rPr>
        <w:t xml:space="preserve"> ohtu investorite huvide kaitstust ega nende õiglast ja</w:t>
      </w:r>
      <w:r w:rsidR="005540D4" w:rsidRPr="001B4AE0">
        <w:rPr>
          <w:rFonts w:ascii="Verdana" w:hAnsi="Verdana"/>
          <w:lang w:val="et-EE"/>
        </w:rPr>
        <w:t xml:space="preserve"> </w:t>
      </w:r>
      <w:r w:rsidR="005540D4" w:rsidRPr="001B4AE0">
        <w:rPr>
          <w:rFonts w:ascii="Verdana" w:hAnsi="Verdana"/>
          <w:lang w:val="et-EE"/>
        </w:rPr>
        <w:t>ühetaolist kohtlemist</w:t>
      </w:r>
      <w:r w:rsidRPr="001B4AE0">
        <w:rPr>
          <w:rFonts w:ascii="Verdana" w:hAnsi="Verdana"/>
          <w:lang w:val="et-EE"/>
        </w:rPr>
        <w:t>;</w:t>
      </w:r>
    </w:p>
    <w:p w:rsidR="005540D4" w:rsidRPr="001B4AE0" w:rsidRDefault="005540D4" w:rsidP="005540D4">
      <w:pPr>
        <w:pStyle w:val="ListParagraph"/>
        <w:rPr>
          <w:rFonts w:ascii="Verdana" w:hAnsi="Verdana"/>
          <w:lang w:val="et-EE"/>
        </w:rPr>
      </w:pPr>
    </w:p>
    <w:p w:rsidR="005540D4" w:rsidRPr="001B4AE0" w:rsidRDefault="005540D4" w:rsidP="005540D4">
      <w:pPr>
        <w:numPr>
          <w:ilvl w:val="0"/>
          <w:numId w:val="5"/>
        </w:numPr>
        <w:ind w:left="709" w:hanging="425"/>
        <w:jc w:val="both"/>
        <w:rPr>
          <w:rFonts w:ascii="Verdana" w:hAnsi="Verdana"/>
          <w:lang w:val="et-EE"/>
        </w:rPr>
      </w:pPr>
      <w:r w:rsidRPr="001B4AE0">
        <w:rPr>
          <w:rFonts w:ascii="Verdana" w:hAnsi="Verdana"/>
          <w:lang w:val="et-EE"/>
        </w:rPr>
        <w:t xml:space="preserve">Kõik </w:t>
      </w:r>
      <w:r w:rsidRPr="001B4AE0">
        <w:rPr>
          <w:rFonts w:ascii="Verdana" w:hAnsi="Verdana"/>
          <w:lang w:val="et-EE"/>
        </w:rPr>
        <w:t>Emitendi majandustegevusest tulenevad tehingud Emitendi emaettevõtjaga või tema poolt kontrollitavate äriühingutega toimuvad turul vabalt kujunenud hindadega</w:t>
      </w:r>
      <w:r w:rsidRPr="001B4AE0">
        <w:rPr>
          <w:rFonts w:ascii="Verdana" w:hAnsi="Verdana"/>
          <w:lang w:val="et-EE"/>
        </w:rPr>
        <w:t>;</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ja tema poolt </w:t>
      </w:r>
      <w:r w:rsidR="00EF45F7" w:rsidRPr="001B4AE0">
        <w:rPr>
          <w:rFonts w:ascii="Verdana" w:hAnsi="Verdana"/>
          <w:lang w:val="et-EE"/>
        </w:rPr>
        <w:t xml:space="preserve">emiteeritud/emiteeritavad </w:t>
      </w:r>
      <w:r w:rsidRPr="001B4AE0">
        <w:rPr>
          <w:rFonts w:ascii="Verdana" w:hAnsi="Verdana"/>
          <w:lang w:val="et-EE"/>
        </w:rPr>
        <w:t xml:space="preserve">noteerimiseks esitatud Väärtpaberid </w:t>
      </w:r>
      <w:r w:rsidR="005540D4" w:rsidRPr="001B4AE0">
        <w:rPr>
          <w:rFonts w:ascii="Verdana" w:hAnsi="Verdana"/>
          <w:lang w:val="et-EE"/>
        </w:rPr>
        <w:t xml:space="preserve">ning põhikiri </w:t>
      </w:r>
      <w:r w:rsidRPr="001B4AE0">
        <w:rPr>
          <w:rFonts w:ascii="Verdana" w:hAnsi="Verdana"/>
          <w:lang w:val="et-EE"/>
        </w:rPr>
        <w:t xml:space="preserve">vastavad Reglemendis sätestatud nõuetele ning Emitent kohustub nõuetekohaselt ja tähtaegselt täitma Reglemendis sätestatud nõudeid kogu </w:t>
      </w:r>
      <w:r w:rsidR="00EF45F7" w:rsidRPr="001B4AE0">
        <w:rPr>
          <w:rFonts w:ascii="Verdana" w:hAnsi="Verdana"/>
          <w:lang w:val="et-EE"/>
        </w:rPr>
        <w:t>noteerimismenetluse kestel, s.t</w:t>
      </w:r>
      <w:r w:rsidRPr="001B4AE0">
        <w:rPr>
          <w:rFonts w:ascii="Verdana" w:hAnsi="Verdana"/>
          <w:lang w:val="et-EE"/>
        </w:rPr>
        <w:t xml:space="preserve"> ka enne noteerimisotsuse vastuvõtmist;</w:t>
      </w:r>
    </w:p>
    <w:p w:rsidR="007C5A16" w:rsidRPr="001B4AE0" w:rsidRDefault="007C5A16" w:rsidP="005540D4">
      <w:pPr>
        <w:ind w:left="709" w:hanging="425"/>
        <w:jc w:val="both"/>
        <w:rPr>
          <w:rFonts w:ascii="Verdana" w:hAnsi="Verdana"/>
          <w:lang w:val="et-EE"/>
        </w:rPr>
      </w:pPr>
    </w:p>
    <w:p w:rsidR="005540D4"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Emitendi tegevjuhtkonna, juhatuse ja nõukogu liikmed on teadlikud Emitendi Väärtpaberite noteerimisega ning käesoleva dokumendi esitamisega kaasnevatest kohustustest;</w:t>
      </w:r>
    </w:p>
    <w:p w:rsidR="005540D4" w:rsidRPr="001B4AE0" w:rsidRDefault="005540D4" w:rsidP="005540D4">
      <w:pPr>
        <w:pStyle w:val="ListParagraph"/>
        <w:rPr>
          <w:rFonts w:ascii="Verdana" w:hAnsi="Verdana"/>
          <w:lang w:val="et-EE"/>
        </w:rPr>
      </w:pPr>
    </w:p>
    <w:p w:rsidR="005540D4" w:rsidRPr="001B4AE0" w:rsidRDefault="005540D4" w:rsidP="005540D4">
      <w:pPr>
        <w:numPr>
          <w:ilvl w:val="0"/>
          <w:numId w:val="5"/>
        </w:numPr>
        <w:ind w:left="709" w:hanging="425"/>
        <w:jc w:val="both"/>
        <w:rPr>
          <w:rFonts w:ascii="Verdana" w:hAnsi="Verdana"/>
          <w:lang w:val="et-EE"/>
        </w:rPr>
      </w:pPr>
      <w:r w:rsidRPr="001B4AE0">
        <w:rPr>
          <w:rFonts w:ascii="Verdana" w:hAnsi="Verdana"/>
          <w:lang w:val="et-EE"/>
        </w:rPr>
        <w:t>Emitendi juhtkonnas ei ole toimunud olulisi muudatusi noteerimistaotluse esitamise päevale eelnenud kaheteistkümne (12) kalendrikuu jooksul. Muudatused Emitendi juhtkonnas loetakse oluliseks, kui viimase kaheteistkümne (12) kalendrikuu jooksul on vahetunud rohkem kui pooled Emitendi nõukogu või juhatuse liikmetest.</w:t>
      </w:r>
      <w:r w:rsidRPr="001B4AE0">
        <w:rPr>
          <w:rFonts w:ascii="Verdana" w:hAnsi="Verdana"/>
          <w:lang w:val="et-EE"/>
        </w:rPr>
        <w:t xml:space="preserve"> Oluliste muudatuste korral esitab Emitent </w:t>
      </w:r>
      <w:r w:rsidRPr="001B4AE0">
        <w:rPr>
          <w:rFonts w:ascii="Verdana" w:hAnsi="Verdana"/>
          <w:lang w:val="et-EE"/>
        </w:rPr>
        <w:t>Noteerimisorgani</w:t>
      </w:r>
      <w:r w:rsidRPr="001B4AE0">
        <w:rPr>
          <w:rFonts w:ascii="Verdana" w:hAnsi="Verdana"/>
          <w:lang w:val="et-EE"/>
        </w:rPr>
        <w:t>le erandi taotlemise avalduse koos põhjendustega;</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kohustub viivitamatult pärast noteerimisotsuse vastuvõtmist sõlmima Börsiga väärtpaberite noteerimiseks lepingu, mille näidis on lisatud käesolevale dokumendile lisana 1; </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aktsepteerib Börsi ning selle juhtorganite õigust teha Emitendile ettekirjutusi Reglemendi normide rikkumiste kõrvaldamiseks. Käesolevaga kohustub Emitent täitma vastuvaidlematult ja viivitamatult kõik Börsi poolt Eesti Vabariigi õigusaktide ja/või Börsi Reglemendi alusel tehtud ettekirjutused ja Börsi poolt Emitendile eelnimetatud õigusaktide alusel pandud kohustused seoses Börsi Reglemendi mittetäitmise või mittenõuetekohase täitmisega;</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Emitent aktsepteerib, et Börsil on igal ajal õigus ühepoolselt muuta ja täiendada Börsi Reglementi ning et tehtavad muudatused ja täiendused ei too kaasa pooltevaheliste suhete muutumist ega lõppemist ega avalda muul viisil mõju nende kehtivusele poolte suhtes.  Kõik Börsi Reglemendis tehtud muudatused ja täiendused on pooltele kohustuslikud alates nende jõustumisest Börsi poolt määratud ajal; </w:t>
      </w:r>
    </w:p>
    <w:p w:rsidR="007C5A16" w:rsidRPr="001B4AE0" w:rsidRDefault="007C5A16" w:rsidP="005540D4">
      <w:pPr>
        <w:numPr>
          <w:ilvl w:val="12"/>
          <w:numId w:val="0"/>
        </w:num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Emitent kohustub tasuma Börsi poolt kooskõlas Börsi Reglemendiga kehtestatud või</w:t>
      </w:r>
      <w:bookmarkStart w:id="0" w:name="_GoBack"/>
      <w:bookmarkEnd w:id="0"/>
      <w:r w:rsidRPr="001B4AE0">
        <w:rPr>
          <w:rFonts w:ascii="Verdana" w:hAnsi="Verdana"/>
          <w:lang w:val="et-EE"/>
        </w:rPr>
        <w:t xml:space="preserve"> k</w:t>
      </w:r>
      <w:r w:rsidR="00EF45F7" w:rsidRPr="001B4AE0">
        <w:rPr>
          <w:rFonts w:ascii="Verdana" w:hAnsi="Verdana"/>
          <w:lang w:val="et-EE"/>
        </w:rPr>
        <w:t>ehtestatavaid tasusid Emitendi V</w:t>
      </w:r>
      <w:r w:rsidRPr="001B4AE0">
        <w:rPr>
          <w:rFonts w:ascii="Verdana" w:hAnsi="Verdana"/>
          <w:lang w:val="et-EE"/>
        </w:rPr>
        <w:t xml:space="preserve">äärtpaberitelt Börsi poolt kehtestatud </w:t>
      </w:r>
      <w:r w:rsidR="005540D4" w:rsidRPr="001B4AE0">
        <w:rPr>
          <w:rFonts w:ascii="Verdana" w:hAnsi="Verdana"/>
          <w:lang w:val="et-EE"/>
        </w:rPr>
        <w:t xml:space="preserve">suuruses, ajal ja tingimustel. Kõigi tasude </w:t>
      </w:r>
      <w:r w:rsidR="00EF45F7" w:rsidRPr="001B4AE0">
        <w:rPr>
          <w:rFonts w:ascii="Verdana" w:hAnsi="Verdana"/>
          <w:lang w:val="et-EE"/>
        </w:rPr>
        <w:t xml:space="preserve">õigeaegselt tasumatajätmise  </w:t>
      </w:r>
      <w:r w:rsidRPr="001B4AE0">
        <w:rPr>
          <w:rFonts w:ascii="Verdana" w:hAnsi="Verdana"/>
          <w:lang w:val="et-EE"/>
        </w:rPr>
        <w:t>eest kohustub Emitent maksma viivist 0.05% õigeaegselt tasumata summalt iga viivitatud päeva eest;</w:t>
      </w:r>
    </w:p>
    <w:p w:rsidR="007C5A16" w:rsidRPr="001B4AE0" w:rsidRDefault="007C5A16" w:rsidP="005540D4">
      <w:pPr>
        <w:ind w:left="709" w:hanging="425"/>
        <w:jc w:val="both"/>
        <w:rPr>
          <w:rFonts w:ascii="Verdana" w:hAnsi="Verdana"/>
          <w:lang w:val="et-EE"/>
        </w:rPr>
      </w:pPr>
    </w:p>
    <w:p w:rsidR="007C5A16" w:rsidRPr="001B4AE0" w:rsidRDefault="007C5A16" w:rsidP="005540D4">
      <w:pPr>
        <w:numPr>
          <w:ilvl w:val="0"/>
          <w:numId w:val="5"/>
        </w:numPr>
        <w:ind w:left="709" w:hanging="425"/>
        <w:jc w:val="both"/>
        <w:rPr>
          <w:rFonts w:ascii="Verdana" w:hAnsi="Verdana"/>
          <w:lang w:val="et-EE"/>
        </w:rPr>
      </w:pPr>
      <w:r w:rsidRPr="001B4AE0">
        <w:rPr>
          <w:rFonts w:ascii="Verdana" w:hAnsi="Verdana"/>
          <w:lang w:val="et-EE"/>
        </w:rPr>
        <w:t xml:space="preserve">Kõik käesolevast dokumendist ja selle </w:t>
      </w:r>
      <w:r w:rsidR="00EF45F7" w:rsidRPr="001B4AE0">
        <w:rPr>
          <w:rFonts w:ascii="Verdana" w:hAnsi="Verdana"/>
          <w:lang w:val="et-EE"/>
        </w:rPr>
        <w:t>alusel täitmiseks võetud</w:t>
      </w:r>
      <w:r w:rsidRPr="001B4AE0">
        <w:rPr>
          <w:rFonts w:ascii="Verdana" w:hAnsi="Verdana"/>
          <w:lang w:val="et-EE"/>
        </w:rPr>
        <w:t xml:space="preserve"> Börsi Reglemendist tulenevad  lahkarvamused ja vaidlused lahendab Börsi vahekohus</w:t>
      </w:r>
      <w:r w:rsidR="00EF45F7" w:rsidRPr="001B4AE0">
        <w:rPr>
          <w:rFonts w:ascii="Verdana" w:hAnsi="Verdana"/>
          <w:lang w:val="et-EE"/>
        </w:rPr>
        <w:t xml:space="preserve"> ning käesolev dokument on käsitletav pooltevahelise vahekohtu kokkuleppena</w:t>
      </w:r>
      <w:r w:rsidRPr="001B4AE0">
        <w:rPr>
          <w:rFonts w:ascii="Verdana" w:hAnsi="Verdana"/>
          <w:lang w:val="et-EE"/>
        </w:rPr>
        <w:t xml:space="preserve">.  Käesolevaga annab Emitent oma nõusoleku selle kohta, et kõigi käesolevast </w:t>
      </w:r>
      <w:r w:rsidR="00EF45F7" w:rsidRPr="001B4AE0">
        <w:rPr>
          <w:rFonts w:ascii="Verdana" w:hAnsi="Verdana"/>
          <w:lang w:val="et-EE"/>
        </w:rPr>
        <w:t xml:space="preserve">dokumendist </w:t>
      </w:r>
      <w:r w:rsidRPr="001B4AE0">
        <w:rPr>
          <w:rFonts w:ascii="Verdana" w:hAnsi="Verdana"/>
          <w:lang w:val="et-EE"/>
        </w:rPr>
        <w:t xml:space="preserve">või Börsi Reglemendist tulenevate vaidluste lahendamine Börsi vahekohtus loetakse vaidluse lahendamiseks vahekohtu poolt vastavalt Eestis kehtivatele õigusaktidele.  Käesolevaga kinnitab Emitent, et tunnustab kooskõlas Börsi Reglemendiga või selle alusel vastu võetud muu aktiga moodustatud Börsi vahekohut kui käesolevast dokumendist või Börsi Reglemendist tuleneva vaidluse lahendamiseks nõuetekohaselt moodustatud vahekohut. Börsi vahekohtu otsus on Pooltele lõplik ja siduv </w:t>
      </w:r>
      <w:r w:rsidR="00EF45F7" w:rsidRPr="001B4AE0">
        <w:rPr>
          <w:rFonts w:ascii="Verdana" w:hAnsi="Verdana"/>
          <w:lang w:val="et-EE"/>
        </w:rPr>
        <w:t>ning ei kuulu protestimisele ega</w:t>
      </w:r>
      <w:r w:rsidRPr="001B4AE0">
        <w:rPr>
          <w:rFonts w:ascii="Verdana" w:hAnsi="Verdana"/>
          <w:lang w:val="et-EE"/>
        </w:rPr>
        <w:t xml:space="preserve"> edasikaebamisele. </w:t>
      </w:r>
    </w:p>
    <w:p w:rsidR="007C5A16" w:rsidRPr="001B4AE0" w:rsidRDefault="007C5A16">
      <w:pPr>
        <w:jc w:val="both"/>
        <w:rPr>
          <w:rFonts w:ascii="Verdana" w:hAnsi="Verdana"/>
          <w:lang w:val="et-EE"/>
        </w:rPr>
      </w:pPr>
    </w:p>
    <w:p w:rsidR="007C5A16" w:rsidRPr="001B4AE0" w:rsidRDefault="007C5A16">
      <w:pPr>
        <w:pStyle w:val="BodyText2"/>
        <w:rPr>
          <w:rFonts w:ascii="Verdana" w:hAnsi="Verdana"/>
          <w:sz w:val="20"/>
          <w:lang w:val="et-EE"/>
        </w:rPr>
      </w:pPr>
    </w:p>
    <w:p w:rsidR="0085748A" w:rsidRPr="001B4AE0" w:rsidRDefault="0085748A">
      <w:pPr>
        <w:numPr>
          <w:ilvl w:val="12"/>
          <w:numId w:val="0"/>
        </w:numPr>
        <w:jc w:val="both"/>
        <w:rPr>
          <w:rFonts w:ascii="Verdana" w:hAnsi="Verdana"/>
          <w:lang w:val="et-EE"/>
        </w:rPr>
      </w:pPr>
    </w:p>
    <w:p w:rsidR="007C5A16" w:rsidRPr="001B4AE0" w:rsidRDefault="007C5A16">
      <w:pPr>
        <w:numPr>
          <w:ilvl w:val="12"/>
          <w:numId w:val="0"/>
        </w:numPr>
        <w:jc w:val="both"/>
        <w:rPr>
          <w:rFonts w:ascii="Verdana" w:hAnsi="Verdana"/>
          <w:lang w:val="et-EE"/>
        </w:rPr>
      </w:pPr>
      <w:r w:rsidRPr="001B4AE0">
        <w:rPr>
          <w:rFonts w:ascii="Verdana" w:hAnsi="Verdana"/>
          <w:lang w:val="et-EE"/>
        </w:rPr>
        <w:t>Emitent</w:t>
      </w:r>
    </w:p>
    <w:p w:rsidR="007C5A16" w:rsidRPr="001B4AE0" w:rsidRDefault="007C5A16">
      <w:pPr>
        <w:jc w:val="both"/>
        <w:rPr>
          <w:rFonts w:ascii="Verdana" w:hAnsi="Verdana"/>
          <w:lang w:val="et-EE"/>
        </w:rPr>
      </w:pPr>
    </w:p>
    <w:p w:rsidR="007C5A16" w:rsidRPr="001B4AE0" w:rsidRDefault="007C5A16">
      <w:pPr>
        <w:numPr>
          <w:ilvl w:val="12"/>
          <w:numId w:val="0"/>
        </w:numPr>
        <w:jc w:val="both"/>
        <w:rPr>
          <w:rFonts w:ascii="Verdana" w:hAnsi="Verdana"/>
          <w:b/>
          <w:lang w:val="et-EE"/>
        </w:rPr>
      </w:pPr>
    </w:p>
    <w:p w:rsidR="007C5A16" w:rsidRPr="001B4AE0" w:rsidRDefault="007C5A16">
      <w:pPr>
        <w:jc w:val="both"/>
        <w:rPr>
          <w:rFonts w:ascii="Verdana" w:hAnsi="Verdana"/>
          <w:lang w:val="et-EE"/>
        </w:rPr>
      </w:pPr>
    </w:p>
    <w:p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Allkiri</w:t>
      </w:r>
      <w:r w:rsidRPr="001B4AE0">
        <w:rPr>
          <w:rFonts w:ascii="Verdana" w:hAnsi="Verdana"/>
          <w:lang w:val="et-EE"/>
        </w:rPr>
        <w:t>]</w:t>
      </w:r>
    </w:p>
    <w:p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Volitatud või seadusjärgse esindaja nimi</w:t>
      </w:r>
      <w:r w:rsidRPr="001B4AE0">
        <w:rPr>
          <w:rFonts w:ascii="Verdana" w:hAnsi="Verdana"/>
          <w:lang w:val="et-EE"/>
        </w:rPr>
        <w:t>]</w:t>
      </w:r>
    </w:p>
    <w:p w:rsidR="007C5A16" w:rsidRPr="001B4AE0" w:rsidRDefault="007C5A16">
      <w:pPr>
        <w:jc w:val="both"/>
        <w:rPr>
          <w:rFonts w:ascii="Verdana" w:hAnsi="Verdana"/>
          <w:lang w:val="et-EE"/>
        </w:rPr>
      </w:pPr>
      <w:r w:rsidRPr="001B4AE0">
        <w:rPr>
          <w:rFonts w:ascii="Verdana" w:hAnsi="Verdana"/>
          <w:lang w:val="et-EE"/>
        </w:rPr>
        <w:t>[</w:t>
      </w:r>
      <w:r w:rsidRPr="001B4AE0">
        <w:rPr>
          <w:rFonts w:ascii="Verdana" w:hAnsi="Verdana"/>
          <w:highlight w:val="lightGray"/>
          <w:lang w:val="et-EE"/>
        </w:rPr>
        <w:t>Ametinimetus</w:t>
      </w:r>
      <w:r w:rsidRPr="001B4AE0">
        <w:rPr>
          <w:rFonts w:ascii="Verdana" w:hAnsi="Verdana"/>
          <w:lang w:val="et-EE"/>
        </w:rPr>
        <w:t>]</w:t>
      </w:r>
    </w:p>
    <w:p w:rsidR="007C5A16" w:rsidRPr="001B4AE0" w:rsidRDefault="007C5A16">
      <w:pPr>
        <w:jc w:val="both"/>
        <w:rPr>
          <w:rFonts w:ascii="Verdana" w:hAnsi="Verdana"/>
          <w:lang w:val="et-EE"/>
        </w:rPr>
      </w:pPr>
    </w:p>
    <w:p w:rsidR="007C5A16" w:rsidRPr="001B4AE0" w:rsidRDefault="007C5A16">
      <w:pPr>
        <w:pStyle w:val="Heading1"/>
        <w:rPr>
          <w:rFonts w:ascii="Verdana" w:hAnsi="Verdana"/>
          <w:b w:val="0"/>
          <w:kern w:val="0"/>
          <w:sz w:val="20"/>
          <w:lang w:val="et-EE"/>
        </w:rPr>
      </w:pPr>
    </w:p>
    <w:p w:rsidR="007C5A16" w:rsidRPr="001B4AE0" w:rsidRDefault="007C5A16">
      <w:pPr>
        <w:jc w:val="both"/>
        <w:rPr>
          <w:rFonts w:ascii="Verdana" w:hAnsi="Verdana"/>
          <w:b/>
          <w:lang w:val="et-EE"/>
        </w:rPr>
      </w:pPr>
    </w:p>
    <w:p w:rsidR="007C5A16" w:rsidRPr="001B4AE0" w:rsidRDefault="007C5A16">
      <w:pPr>
        <w:jc w:val="both"/>
        <w:rPr>
          <w:rFonts w:ascii="Verdana" w:hAnsi="Verdana"/>
          <w:b/>
          <w:lang w:val="et-EE"/>
        </w:rPr>
      </w:pPr>
    </w:p>
    <w:p w:rsidR="007C5A16" w:rsidRPr="001B4AE0" w:rsidRDefault="007C5A16">
      <w:pPr>
        <w:jc w:val="both"/>
        <w:rPr>
          <w:rFonts w:ascii="Verdana" w:hAnsi="Verdana"/>
          <w:b/>
          <w:lang w:val="et-EE"/>
        </w:rPr>
      </w:pPr>
    </w:p>
    <w:p w:rsidR="007C5A16" w:rsidRPr="001B4AE0" w:rsidRDefault="007C5A16">
      <w:pPr>
        <w:jc w:val="both"/>
        <w:rPr>
          <w:rFonts w:ascii="Verdana" w:hAnsi="Verdana"/>
          <w:lang w:val="et-EE"/>
        </w:rPr>
      </w:pPr>
    </w:p>
    <w:sectPr w:rsidR="007C5A16" w:rsidRPr="001B4AE0">
      <w:footerReference w:type="default" r:id="rId7"/>
      <w:pgSz w:w="12240" w:h="15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5A46" w:rsidRDefault="00E55A46" w:rsidP="0085748A">
      <w:r>
        <w:separator/>
      </w:r>
    </w:p>
  </w:endnote>
  <w:endnote w:type="continuationSeparator" w:id="0">
    <w:p w:rsidR="00E55A46" w:rsidRDefault="00E55A46" w:rsidP="00857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12664600"/>
      <w:docPartObj>
        <w:docPartGallery w:val="Page Numbers (Bottom of Page)"/>
        <w:docPartUnique/>
      </w:docPartObj>
    </w:sdtPr>
    <w:sdtEndPr>
      <w:rPr>
        <w:noProof/>
      </w:rPr>
    </w:sdtEndPr>
    <w:sdtContent>
      <w:p w:rsidR="0085748A" w:rsidRDefault="0085748A">
        <w:pPr>
          <w:pStyle w:val="Footer"/>
          <w:jc w:val="right"/>
        </w:pPr>
        <w:r w:rsidRPr="0085748A">
          <w:rPr>
            <w:rFonts w:ascii="Verdana" w:hAnsi="Verdana"/>
          </w:rPr>
          <w:fldChar w:fldCharType="begin"/>
        </w:r>
        <w:r w:rsidRPr="0085748A">
          <w:rPr>
            <w:rFonts w:ascii="Verdana" w:hAnsi="Verdana"/>
          </w:rPr>
          <w:instrText xml:space="preserve"> PAGE   \* MERGEFORMAT </w:instrText>
        </w:r>
        <w:r w:rsidRPr="0085748A">
          <w:rPr>
            <w:rFonts w:ascii="Verdana" w:hAnsi="Verdana"/>
          </w:rPr>
          <w:fldChar w:fldCharType="separate"/>
        </w:r>
        <w:r w:rsidR="001B4AE0">
          <w:rPr>
            <w:rFonts w:ascii="Verdana" w:hAnsi="Verdana"/>
            <w:noProof/>
          </w:rPr>
          <w:t>2</w:t>
        </w:r>
        <w:r w:rsidRPr="0085748A">
          <w:rPr>
            <w:rFonts w:ascii="Verdana" w:hAnsi="Verdana"/>
            <w:noProof/>
          </w:rPr>
          <w:fldChar w:fldCharType="end"/>
        </w:r>
      </w:p>
    </w:sdtContent>
  </w:sdt>
  <w:p w:rsidR="0085748A" w:rsidRDefault="00857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5A46" w:rsidRDefault="00E55A46" w:rsidP="0085748A">
      <w:r>
        <w:separator/>
      </w:r>
    </w:p>
  </w:footnote>
  <w:footnote w:type="continuationSeparator" w:id="0">
    <w:p w:rsidR="00E55A46" w:rsidRDefault="00E55A46" w:rsidP="008574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92990"/>
    <w:multiLevelType w:val="hybridMultilevel"/>
    <w:tmpl w:val="AAAE7ACC"/>
    <w:lvl w:ilvl="0" w:tplc="B672E646">
      <w:start w:val="1"/>
      <w:numFmt w:val="decimal"/>
      <w:lvlText w:val="%1."/>
      <w:lvlJc w:val="left"/>
      <w:pPr>
        <w:ind w:left="1080" w:hanging="72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435B3E99"/>
    <w:multiLevelType w:val="singleLevel"/>
    <w:tmpl w:val="8DD236C2"/>
    <w:lvl w:ilvl="0">
      <w:start w:val="6"/>
      <w:numFmt w:val="decimal"/>
      <w:lvlText w:val="%1."/>
      <w:lvlJc w:val="left"/>
      <w:pPr>
        <w:tabs>
          <w:tab w:val="num" w:pos="720"/>
        </w:tabs>
        <w:ind w:left="720" w:hanging="720"/>
      </w:pPr>
      <w:rPr>
        <w:rFonts w:hint="default"/>
      </w:rPr>
    </w:lvl>
  </w:abstractNum>
  <w:abstractNum w:abstractNumId="2" w15:restartNumberingAfterBreak="0">
    <w:nsid w:val="68735FBA"/>
    <w:multiLevelType w:val="multilevel"/>
    <w:tmpl w:val="3D7E9BE0"/>
    <w:lvl w:ilvl="0">
      <w:start w:val="1"/>
      <w:numFmt w:val="decimal"/>
      <w:lvlText w:val="%1."/>
      <w:legacy w:legacy="1" w:legacySpace="0" w:legacyIndent="567"/>
      <w:lvlJc w:val="left"/>
      <w:pPr>
        <w:ind w:left="567" w:hanging="567"/>
      </w:pPr>
    </w:lvl>
    <w:lvl w:ilvl="1">
      <w:start w:val="1"/>
      <w:numFmt w:val="decimal"/>
      <w:lvlText w:val="%1.%2."/>
      <w:legacy w:legacy="1" w:legacySpace="0" w:legacyIndent="567"/>
      <w:lvlJc w:val="left"/>
      <w:pPr>
        <w:ind w:left="1134" w:hanging="567"/>
      </w:pPr>
    </w:lvl>
    <w:lvl w:ilvl="2">
      <w:start w:val="1"/>
      <w:numFmt w:val="decimal"/>
      <w:lvlText w:val="%1.%2.%3."/>
      <w:legacy w:legacy="1" w:legacySpace="0" w:legacyIndent="851"/>
      <w:lvlJc w:val="left"/>
      <w:pPr>
        <w:ind w:left="1985" w:hanging="851"/>
      </w:pPr>
    </w:lvl>
    <w:lvl w:ilvl="3">
      <w:start w:val="1"/>
      <w:numFmt w:val="decimal"/>
      <w:lvlText w:val="%1.%2.%3.%4."/>
      <w:legacy w:legacy="1" w:legacySpace="0" w:legacyIndent="851"/>
      <w:lvlJc w:val="left"/>
      <w:pPr>
        <w:ind w:left="2836" w:hanging="851"/>
      </w:pPr>
    </w:lvl>
    <w:lvl w:ilvl="4">
      <w:start w:val="1"/>
      <w:numFmt w:val="decimal"/>
      <w:lvlText w:val="%1.%2.%3.%4.%5."/>
      <w:legacy w:legacy="1" w:legacySpace="0" w:legacyIndent="708"/>
      <w:lvlJc w:val="left"/>
      <w:pPr>
        <w:ind w:left="3544" w:hanging="708"/>
      </w:pPr>
    </w:lvl>
    <w:lvl w:ilvl="5">
      <w:start w:val="1"/>
      <w:numFmt w:val="decimal"/>
      <w:lvlText w:val="%1.%2.%3.%4.%5.%6."/>
      <w:legacy w:legacy="1" w:legacySpace="0" w:legacyIndent="708"/>
      <w:lvlJc w:val="left"/>
      <w:pPr>
        <w:ind w:left="4252" w:hanging="708"/>
      </w:pPr>
    </w:lvl>
    <w:lvl w:ilvl="6">
      <w:start w:val="1"/>
      <w:numFmt w:val="decimal"/>
      <w:lvlText w:val="%1.%2.%3.%4.%5.%6.%7."/>
      <w:legacy w:legacy="1" w:legacySpace="0" w:legacyIndent="708"/>
      <w:lvlJc w:val="left"/>
      <w:pPr>
        <w:ind w:left="4960" w:hanging="708"/>
      </w:pPr>
    </w:lvl>
    <w:lvl w:ilvl="7">
      <w:start w:val="1"/>
      <w:numFmt w:val="decimal"/>
      <w:lvlText w:val="%1.%2.%3.%4.%5.%6.%7.%8."/>
      <w:legacy w:legacy="1" w:legacySpace="0" w:legacyIndent="708"/>
      <w:lvlJc w:val="left"/>
      <w:pPr>
        <w:ind w:left="5668" w:hanging="708"/>
      </w:pPr>
    </w:lvl>
    <w:lvl w:ilvl="8">
      <w:start w:val="1"/>
      <w:numFmt w:val="decimal"/>
      <w:lvlText w:val="%1.%2.%3.%4.%5.%6.%7.%8.%9."/>
      <w:legacy w:legacy="1" w:legacySpace="0" w:legacyIndent="708"/>
      <w:lvlJc w:val="left"/>
      <w:pPr>
        <w:ind w:left="6376" w:hanging="708"/>
      </w:pPr>
    </w:lvl>
  </w:abstractNum>
  <w:abstractNum w:abstractNumId="3" w15:restartNumberingAfterBreak="0">
    <w:nsid w:val="707D2CE0"/>
    <w:multiLevelType w:val="hybridMultilevel"/>
    <w:tmpl w:val="8A2C473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78800996"/>
    <w:multiLevelType w:val="singleLevel"/>
    <w:tmpl w:val="04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5F7"/>
    <w:rsid w:val="001B4AE0"/>
    <w:rsid w:val="005540D4"/>
    <w:rsid w:val="00627830"/>
    <w:rsid w:val="007C5A16"/>
    <w:rsid w:val="0085748A"/>
    <w:rsid w:val="00E55A46"/>
    <w:rsid w:val="00EF45F7"/>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2BC1AB-ED6D-4FC5-B0FA-149F11ABC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paragraph" w:styleId="Heading1">
    <w:name w:val="heading 1"/>
    <w:basedOn w:val="Normal"/>
    <w:next w:val="Normal"/>
    <w:qFormat/>
    <w:pPr>
      <w:keepNext/>
      <w:spacing w:before="240" w:after="60"/>
      <w:outlineLvl w:val="0"/>
    </w:pPr>
    <w:rPr>
      <w:rFonts w:ascii="Arial" w:hAnsi="Arial"/>
      <w:b/>
      <w:kern w:val="28"/>
      <w:sz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4"/>
    </w:rPr>
  </w:style>
  <w:style w:type="paragraph" w:styleId="BodyText2">
    <w:name w:val="Body Text 2"/>
    <w:basedOn w:val="Normal"/>
    <w:semiHidden/>
    <w:pPr>
      <w:jc w:val="both"/>
    </w:pPr>
    <w:rPr>
      <w:sz w:val="24"/>
    </w:rPr>
  </w:style>
  <w:style w:type="character" w:styleId="CommentReference">
    <w:name w:val="annotation reference"/>
    <w:semiHidden/>
    <w:rPr>
      <w:sz w:val="16"/>
    </w:rPr>
  </w:style>
  <w:style w:type="paragraph" w:styleId="CommentText">
    <w:name w:val="annotation text"/>
    <w:basedOn w:val="Normal"/>
    <w:semiHidden/>
  </w:style>
  <w:style w:type="paragraph" w:styleId="ListParagraph">
    <w:name w:val="List Paragraph"/>
    <w:basedOn w:val="Normal"/>
    <w:uiPriority w:val="34"/>
    <w:qFormat/>
    <w:rsid w:val="005540D4"/>
    <w:pPr>
      <w:ind w:left="708"/>
    </w:pPr>
  </w:style>
  <w:style w:type="paragraph" w:styleId="Header">
    <w:name w:val="header"/>
    <w:basedOn w:val="Normal"/>
    <w:link w:val="HeaderChar"/>
    <w:uiPriority w:val="99"/>
    <w:unhideWhenUsed/>
    <w:rsid w:val="0085748A"/>
    <w:pPr>
      <w:tabs>
        <w:tab w:val="center" w:pos="4536"/>
        <w:tab w:val="right" w:pos="9072"/>
      </w:tabs>
    </w:pPr>
  </w:style>
  <w:style w:type="character" w:customStyle="1" w:styleId="HeaderChar">
    <w:name w:val="Header Char"/>
    <w:basedOn w:val="DefaultParagraphFont"/>
    <w:link w:val="Header"/>
    <w:uiPriority w:val="99"/>
    <w:rsid w:val="0085748A"/>
    <w:rPr>
      <w:lang w:val="en-US"/>
    </w:rPr>
  </w:style>
  <w:style w:type="paragraph" w:styleId="Footer">
    <w:name w:val="footer"/>
    <w:basedOn w:val="Normal"/>
    <w:link w:val="FooterChar"/>
    <w:uiPriority w:val="99"/>
    <w:unhideWhenUsed/>
    <w:rsid w:val="0085748A"/>
    <w:pPr>
      <w:tabs>
        <w:tab w:val="center" w:pos="4536"/>
        <w:tab w:val="right" w:pos="9072"/>
      </w:tabs>
    </w:pPr>
  </w:style>
  <w:style w:type="character" w:customStyle="1" w:styleId="FooterChar">
    <w:name w:val="Footer Char"/>
    <w:basedOn w:val="DefaultParagraphFont"/>
    <w:link w:val="Footer"/>
    <w:uiPriority w:val="99"/>
    <w:rsid w:val="0085748A"/>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650</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Audiitori järeldusotsus osaühing “Tolerdon” osanikele</vt:lpstr>
    </vt:vector>
  </TitlesOfParts>
  <Company>Tallinn Stock Exchange</Company>
  <LinksUpToDate>false</LinksUpToDate>
  <CharactersWithSpaces>4415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Audiitori järeldusotsus osaühing “Tolerdon” osanikele</dc:title>
  <dc:subject/>
  <dc:creator>annely</dc:creator>
  <cp:keywords/>
  <cp:lastModifiedBy>Hedi Uustalu</cp:lastModifiedBy>
  <cp:revision>4</cp:revision>
  <dcterms:created xsi:type="dcterms:W3CDTF">2017-10-11T10:48:00Z</dcterms:created>
  <dcterms:modified xsi:type="dcterms:W3CDTF">2017-10-11T10:49:00Z</dcterms:modified>
</cp:coreProperties>
</file>